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spacing w:after="0" w:line="24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Order Schedule 10 (Exit Management)</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7988.0"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"Exclusive Assets"</w:t>
            </w:r>
          </w:p>
        </w:tc>
        <w:tc>
          <w:tcPr/>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Assets used exclusively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a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the provision of the Deliverables;</w:t>
            </w:r>
          </w:p>
        </w:tc>
      </w:tr>
      <w:tr>
        <w:trPr>
          <w:cantSplit w:val="0"/>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p>
        </w:tc>
        <w:tc>
          <w:tcPr/>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3.1 of this Schedule;</w:t>
            </w:r>
          </w:p>
        </w:tc>
      </w:tr>
      <w:tr>
        <w:trPr>
          <w:cantSplit w:val="0"/>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Manager"</w:t>
            </w:r>
          </w:p>
        </w:tc>
        <w:tc>
          <w:tcPr/>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Plan”</w:t>
            </w:r>
          </w:p>
        </w:tc>
        <w:tc>
          <w:tcPr/>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produced and updated by the Supplier during the Initial Period in accordance with Paragraph 4 of this Schedule;</w:t>
            </w:r>
          </w:p>
        </w:tc>
      </w:tr>
      <w:tr>
        <w:trPr>
          <w:cantSplit w:val="0"/>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"Net Book Value"</w:t>
            </w:r>
          </w:p>
        </w:tc>
        <w:tc>
          <w:tcPr/>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current net book value of the relevant Supplier Asset(s) calculated in accordance with the DPS Application or Order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"Non-Exclusive Assets"</w:t>
            </w:r>
          </w:p>
        </w:tc>
        <w:tc>
          <w:tcPr/>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Supplier Assets used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a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connection with the Deliverables but which are also used by the 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[or Key Subcontractor]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other purposes;</w:t>
            </w:r>
          </w:p>
        </w:tc>
      </w:tr>
      <w:tr>
        <w:trPr>
          <w:cantSplit w:val="0"/>
          <w:tblHeader w:val="0"/>
        </w:trPr>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p>
        </w:tc>
        <w:tc>
          <w:tcPr/>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register and configuration database referred to in Paragraph 2.2 of this Schedule; </w:t>
            </w:r>
          </w:p>
        </w:tc>
      </w:tr>
      <w:tr>
        <w:trPr>
          <w:cantSplit w:val="0"/>
          <w:tblHeader w:val="0"/>
        </w:trP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Goods"</w:t>
            </w:r>
          </w:p>
        </w:tc>
        <w:tc>
          <w:tcPr/>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"Replacement Services"</w:t>
            </w:r>
          </w:p>
        </w:tc>
        <w:tc>
          <w:tcPr/>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w:t>
            </w:r>
          </w:p>
        </w:tc>
        <w:tc>
          <w:tcPr/>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p>
        </w:tc>
        <w:tc>
          <w:tcPr/>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5.1 of this Schedule;</w:t>
            </w:r>
          </w:p>
        </w:tc>
      </w:tr>
      <w:tr>
        <w:trPr>
          <w:cantSplit w:val="0"/>
          <w:tblHeader w:val="0"/>
        </w:trPr>
        <w:tc>
          <w:tcPr/>
          <w:p w:rsidR="00000000" w:rsidDel="00000000" w:rsidP="00000000" w:rsidRDefault="00000000" w:rsidRPr="00000000" w14:paraId="0000001B">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w:t>
            </w:r>
          </w:p>
        </w:tc>
        <w:tc>
          <w:tcPr/>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period specified in a Termination Assistance Notice for which the Supplier is required to provide the Termination Assistance as such period may be extended pursuant to Paragraph 5.2 of this Schedule;</w:t>
            </w:r>
          </w:p>
        </w:tc>
      </w:tr>
      <w:tr>
        <w:trPr>
          <w:cantSplit w:val="0"/>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Assets"</w:t>
            </w:r>
          </w:p>
        </w:tc>
        <w:tc>
          <w:tcPr/>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"Transferable Contracts"</w:t>
            </w:r>
          </w:p>
        </w:tc>
        <w:tc>
          <w:tcPr/>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p>
        </w:tc>
        <w:tc>
          <w:tcPr/>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8.2.1 of this Schedule;</w:t>
            </w:r>
          </w:p>
        </w:tc>
      </w:tr>
      <w:tr>
        <w:trPr>
          <w:cantSplit w:val="0"/>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p>
        </w:tc>
        <w:tc>
          <w:tcPr/>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8.2.3 of this Schedule.</w:t>
            </w:r>
          </w:p>
        </w:tc>
      </w:tr>
    </w:tbl>
    <w:p w:rsidR="00000000" w:rsidDel="00000000" w:rsidP="00000000" w:rsidRDefault="00000000" w:rsidRPr="00000000" w14:paraId="0000002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must always be prepared for contract exit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30 days from the Start Date provide to the Buyer a copy of its depreciation policy to be used for the purposes of calculating Net Book Value.</w:t>
      </w:r>
    </w:p>
    <w:p w:rsidR="00000000" w:rsidDel="00000000" w:rsidP="00000000" w:rsidRDefault="00000000" w:rsidRPr="00000000" w14:paraId="0000002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During the Contract Period, the Supplier shall promptly:</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create and maintain a configuration database detailing the technical infrastructure and operating procedures through which the Supplier provides the Deliverables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Registers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Exclusive Assets listed in the Registers are clearly physically identified as such; and</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appoint an Exit Manager within three (3) Months of the Start Date. The Parties' Exit Managers will liaise with one another in relation to all issues relevant to the expiry or termination of this Contract.</w:t>
      </w:r>
    </w:p>
    <w:p w:rsidR="00000000" w:rsidDel="00000000" w:rsidP="00000000" w:rsidRDefault="00000000" w:rsidRPr="00000000" w14:paraId="0000002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Assisting re-competition for Deliverables </w:t>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Exit Plan</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three (3) Months after the Start Date, deliver to the Buyer an Exit Plan which complies with the requirements set out in Paragraph 4.3 of this Schedule and is otherwise reasonably satisfactory to the Buyer.</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Exit Plan shall set out, as a minimum:</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description of both the transfer and cessation processes, including a timetable; </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Deliverables will transfer to the Replacement Supplier and/or the Buyer;</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proposals for the disposal of any redundant Deliverables and materials;</w:t>
      </w:r>
    </w:p>
    <w:p w:rsidR="00000000" w:rsidDel="00000000" w:rsidP="00000000" w:rsidRDefault="00000000" w:rsidRPr="00000000" w14:paraId="0000004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information or assistance reasonably required by the Buyer or a Replacement Supplier.</w:t>
      </w:r>
    </w:p>
    <w:p w:rsidR="00000000" w:rsidDel="00000000" w:rsidP="00000000" w:rsidRDefault="00000000" w:rsidRPr="00000000" w14:paraId="0000004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4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and update the Exit Plan (and risk management plan) no less frequently than: </w:t>
      </w:r>
    </w:p>
    <w:p w:rsidR="00000000" w:rsidDel="00000000" w:rsidP="00000000" w:rsidRDefault="00000000" w:rsidRPr="00000000" w14:paraId="00000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every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[six (6) months]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throughout the Contract Period; and</w:t>
      </w:r>
    </w:p>
    <w:p w:rsidR="00000000" w:rsidDel="00000000" w:rsidP="00000000" w:rsidRDefault="00000000" w:rsidRPr="00000000" w14:paraId="000000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twenty (20)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a request from the Buyer for an up-to-date copy of the Exit Plan; </w:t>
      </w:r>
    </w:p>
    <w:p w:rsidR="00000000" w:rsidDel="00000000" w:rsidP="00000000" w:rsidRDefault="00000000" w:rsidRPr="00000000" w14:paraId="000000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possible following a Termination Assistance Notice, and in any event 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ten (10)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the date of the Termination Assistance Notice;</w:t>
      </w:r>
    </w:p>
    <w:p w:rsidR="00000000" w:rsidDel="00000000" w:rsidP="00000000" w:rsidRDefault="00000000" w:rsidRPr="00000000" w14:paraId="000000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possible following, and in any event no later than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twenty (20) Working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following, any material change to the Deliverables (including all changes under the Variation Procedure); and  </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jointly review and verify the Exit Plan if required by the Buyer and promptly correct any identified failures.</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if (by notification to the Supplier in writing) the Buyer agrees with a draft Exit Plan provided by the Supplier under Paragraph 4.2 or 4.4 (as the context requires), shall that draft become the Exit Plan for this Contract.  </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version of an Exit Plan agreed between the parties shall not be superseded by any draft submitted by the Supplier.</w:t>
      </w:r>
    </w:p>
    <w:p w:rsidR="00000000" w:rsidDel="00000000" w:rsidP="00000000" w:rsidRDefault="00000000" w:rsidRPr="00000000" w14:paraId="0000004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require the provision of Termination Assistance at any time during the Contract Period by giving written notice to the Supplier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nature of the Termination Assistance required; and</w:t>
      </w:r>
    </w:p>
    <w:p w:rsidR="00000000" w:rsidDel="00000000" w:rsidP="00000000" w:rsidRDefault="00000000" w:rsidRPr="00000000" w14:paraId="0000004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start date and initial period during which it is anticipated that Termination Assistance will be required, which shall continue no longer than twelve (12) Months after the End Date.</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5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such extension shall extend the Termination Assistance Period beyond the date twelve (12) Months after the End Date; and </w:t>
      </w:r>
    </w:p>
    <w:p w:rsidR="00000000" w:rsidDel="00000000" w:rsidP="00000000" w:rsidRDefault="00000000" w:rsidRPr="00000000" w14:paraId="0000005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54">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Assistance Period </w:t>
      </w:r>
      <w:r w:rsidDel="00000000" w:rsidR="00000000" w:rsidRPr="00000000">
        <w:rPr>
          <w:rtl w:val="0"/>
        </w:rPr>
      </w:r>
    </w:p>
    <w:p w:rsidR="00000000" w:rsidDel="00000000" w:rsidP="00000000" w:rsidRDefault="00000000" w:rsidRPr="00000000" w14:paraId="00000055">
      <w:pPr>
        <w:keepNext w:val="1"/>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Termination Assistance Period the Supplier shall:</w:t>
      </w:r>
    </w:p>
    <w:p w:rsidR="00000000" w:rsidDel="00000000" w:rsidP="00000000" w:rsidRDefault="00000000" w:rsidRPr="00000000" w14:paraId="0000005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continue to provide the Deliverables (as applicable) and otherwise perform its obligations under this Contract and, if required by the Buyer, provide the Termination Assistance;</w:t>
      </w:r>
    </w:p>
    <w:p w:rsidR="00000000" w:rsidDel="00000000" w:rsidP="00000000" w:rsidRDefault="00000000" w:rsidRPr="00000000" w14:paraId="000000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all reasonable endeavours to reallocate resources to provide such assistance without additional costs to the Buyer;</w:t>
      </w:r>
    </w:p>
    <w:p w:rsidR="00000000" w:rsidDel="00000000" w:rsidP="00000000" w:rsidRDefault="00000000" w:rsidRPr="00000000" w14:paraId="0000005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6.3, provide the Deliverables and the Termination Assistance at no detriment to the Performance Indicators (PI’s) or Service Levels, the provision of the Management Information or any other reports nor to any other of the Supplier's obligations under this Contract; </w:t>
      </w:r>
    </w:p>
    <w:p w:rsidR="00000000" w:rsidDel="00000000" w:rsidP="00000000" w:rsidRDefault="00000000" w:rsidRPr="00000000" w14:paraId="0000005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Buyer's request and on reasonable notice, deliver up-to-date Registers to the Buyer;</w:t>
      </w:r>
    </w:p>
    <w:p w:rsidR="00000000" w:rsidDel="00000000" w:rsidP="00000000" w:rsidRDefault="00000000" w:rsidRPr="00000000" w14:paraId="0000005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demonstrates to the Buyer's reasonable satisfaction that the provision of the Termination Assistance will have a material, unavoidable adverse effect on the Supplier's ability to meet one or more particular Service Levels, the Parties shall vary the relevant Service Levels and/or the applicable Service Credits accordingly.</w:t>
      </w:r>
    </w:p>
    <w:p w:rsidR="00000000" w:rsidDel="00000000" w:rsidP="00000000" w:rsidRDefault="00000000" w:rsidRPr="00000000" w14:paraId="0000005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Obligations when the contract is terminated  </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all of its obligations contained in the Exit Plan.</w:t>
      </w:r>
    </w:p>
    <w:p w:rsidR="00000000" w:rsidDel="00000000" w:rsidP="00000000" w:rsidRDefault="00000000" w:rsidRPr="00000000" w14:paraId="0000006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vacate any Buyer Premises;</w:t>
      </w:r>
    </w:p>
    <w:p w:rsidR="00000000" w:rsidDel="00000000" w:rsidP="00000000" w:rsidRDefault="00000000" w:rsidRPr="00000000" w14:paraId="0000006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6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information relating to the Deliverables as remains in the possession or control of the Supplier; and</w:t>
      </w:r>
    </w:p>
    <w:p w:rsidR="00000000" w:rsidDel="00000000" w:rsidP="00000000" w:rsidRDefault="00000000" w:rsidRPr="00000000" w14:paraId="000000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where this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6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Assets, Sub-contracts and Software</w:t>
      </w:r>
    </w:p>
    <w:p w:rsidR="00000000" w:rsidDel="00000000" w:rsidP="00000000" w:rsidRDefault="00000000" w:rsidRPr="00000000" w14:paraId="00000068">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notice of termination of this Contract and during the Termination Assistance Period, the Supplier shall not, without the Buyer's prior written consent:</w:t>
      </w:r>
    </w:p>
    <w:p w:rsidR="00000000" w:rsidDel="00000000" w:rsidP="00000000" w:rsidRDefault="00000000" w:rsidRPr="00000000" w14:paraId="000000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terminate, enter into or vary any Sub-contract or licence for any software in connection with the Deliverables; or</w:t>
      </w:r>
    </w:p>
    <w:p w:rsidR="00000000" w:rsidDel="00000000" w:rsidP="00000000" w:rsidRDefault="00000000" w:rsidRPr="00000000" w14:paraId="000000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6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6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the Transferable Assets the Buyer requires to be transferred to the Buyer and/or the Replacement Supplier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Assets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bookmarkStart w:colFirst="0" w:colLast="0" w:name="bookmark=id.49x2ik5" w:id="29"/>
    <w:bookmarkEnd w:id="29"/>
    <w:p w:rsidR="00000000" w:rsidDel="00000000" w:rsidP="00000000" w:rsidRDefault="00000000" w:rsidRPr="00000000" w14:paraId="0000006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w:t>
      </w:r>
    </w:p>
    <w:p w:rsidR="00000000" w:rsidDel="00000000" w:rsidP="00000000" w:rsidRDefault="00000000" w:rsidRPr="00000000" w14:paraId="000000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Exclusive Assets that are not Transferable Assets; and </w:t>
      </w:r>
    </w:p>
    <w:p w:rsidR="00000000" w:rsidDel="00000000" w:rsidP="00000000" w:rsidRDefault="00000000" w:rsidRPr="00000000" w14:paraId="000000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27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Non-Exclusive Assets,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and/or the Replacement Supplier requires the continued use of; and</w:t>
      </w:r>
    </w:p>
    <w:p w:rsidR="00000000" w:rsidDel="00000000" w:rsidP="00000000" w:rsidRDefault="00000000" w:rsidRPr="00000000" w14:paraId="0000007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which, if any, of Transferable Contracts the Buyer requires to be assigned or novated to the Buyer and/or the Replacement Supplier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"Transferring Contracts"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2127"/>
        </w:tabs>
        <w:spacing w:after="120" w:before="120" w:line="240" w:lineRule="auto"/>
        <w:ind w:left="936" w:right="0" w:hanging="349.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7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7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7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7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7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7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w:t>
      </w:r>
    </w:p>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accept assignments from the Supplier or join with the Supplier in procuring a novation of each Transferring Contract; and</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7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19 (Other people's rights in this contract) shall not apply to this Paragraph 8.9 which is intended to be enforceable by Third Parties Beneficiaries by virtue of the CRTPA.</w:t>
      </w:r>
    </w:p>
    <w:p w:rsidR="00000000" w:rsidDel="00000000" w:rsidP="00000000" w:rsidRDefault="00000000" w:rsidRPr="00000000" w14:paraId="0000007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1mghml" w:id="37"/>
      <w:bookmarkEnd w:id="37"/>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charges</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80">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ividing the bills </w:t>
      </w:r>
      <w:r w:rsidDel="00000000" w:rsidR="00000000" w:rsidRPr="00000000">
        <w:rPr>
          <w:rtl w:val="0"/>
        </w:rPr>
      </w:r>
    </w:p>
    <w:p w:rsidR="00000000" w:rsidDel="00000000" w:rsidP="00000000" w:rsidRDefault="00000000" w:rsidRPr="00000000" w14:paraId="0000008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28"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8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amounts shall be annualised and divided by 365 to reach a daily rate;</w:t>
      </w:r>
    </w:p>
    <w:p w:rsidR="00000000" w:rsidDel="00000000" w:rsidP="00000000" w:rsidRDefault="00000000" w:rsidRPr="00000000" w14:paraId="0000008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8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or entitled to (as the case may be) the rest of the invoice.</w:t>
      </w:r>
    </w:p>
    <w:p w:rsidR="00000000" w:rsidDel="00000000" w:rsidP="00000000" w:rsidRDefault="00000000" w:rsidRPr="00000000" w14:paraId="00000085">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6">
      <w:pPr>
        <w:pageBreakBefore w:val="0"/>
        <w:rPr>
          <w:rFonts w:ascii="Arial" w:cs="Arial" w:eastAsia="Arial" w:hAnsi="Arial"/>
          <w:sz w:val="24"/>
          <w:szCs w:val="24"/>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rFonts w:ascii="Arial" w:cs="Arial" w:eastAsia="Arial" w:hAnsi="Arial"/>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w:t>
    </w:r>
    <w:bookmarkStart w:colFirst="0" w:colLast="0" w:name="bookmark=id.vx1227" w:id="39"/>
    <w:bookmarkEnd w:id="3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F">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Framework Ref: RM</w:t>
      <w:tab/>
      <w:t xml:space="preserve">                                           </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10 (Exit Management)</w:t>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355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644" w:hanging="359.9999999999999"/>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rsid w:val="00130970"/>
    <w:pPr>
      <w:numPr>
        <w:ilvl w:val="1"/>
        <w:numId w:val="1"/>
      </w:numPr>
      <w:adjustRightInd w:val="0"/>
      <w:spacing w:after="120" w:before="120" w:line="240" w:lineRule="auto"/>
      <w:ind w:left="936" w:hanging="576"/>
      <w:jc w:val="both"/>
    </w:pPr>
    <w:rPr>
      <w:rFonts w:ascii="Calibri" w:cs="Arial" w:eastAsia="Times New Roman"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ind w:left="3402" w:hanging="567"/>
    </w:p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GPSL3Indent" w:customStyle="1">
    <w:name w:val="GPS L3 Indent"/>
    <w:basedOn w:val="Normal"/>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GPSL2Indent" w:customStyle="1">
    <w:name w:val="GPS L2 Indent"/>
    <w:basedOn w:val="GPSL2numberedclause"/>
    <w:link w:val="GPSL2IndentChar"/>
    <w:qFormat w:val="1"/>
    <w:pPr>
      <w:numPr>
        <w:ilvl w:val="0"/>
        <w:numId w:val="0"/>
      </w:numPr>
      <w:tabs>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36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cheduleL1" w:customStyle="1">
    <w:name w:val="Schedule L1"/>
    <w:basedOn w:val="Normal"/>
    <w:pPr>
      <w:numPr>
        <w:numId w:val="3"/>
      </w:numPr>
      <w:adjustRightInd w:val="0"/>
      <w:spacing w:after="240" w:line="240" w:lineRule="auto"/>
      <w:jc w:val="both"/>
      <w:outlineLvl w:val="0"/>
    </w:pPr>
    <w:rPr>
      <w:rFonts w:ascii="Times New Roman" w:cs="Times New Roman" w:eastAsia="STZhongsong" w:hAnsi="Times New Roman"/>
      <w:szCs w:val="20"/>
      <w:lang w:eastAsia="zh-CN"/>
    </w:rPr>
  </w:style>
  <w:style w:type="paragraph" w:styleId="ScheduleL2" w:customStyle="1">
    <w:name w:val="Schedule L2"/>
    <w:basedOn w:val="Normal"/>
    <w:link w:val="ScheduleL2Char"/>
    <w:pPr>
      <w:numPr>
        <w:ilvl w:val="1"/>
        <w:numId w:val="3"/>
      </w:numPr>
      <w:adjustRightInd w:val="0"/>
      <w:spacing w:after="240" w:line="240" w:lineRule="auto"/>
      <w:jc w:val="both"/>
      <w:outlineLvl w:val="1"/>
    </w:pPr>
    <w:rPr>
      <w:rFonts w:ascii="Times New Roman" w:cs="Times New Roman" w:eastAsia="STZhongsong" w:hAnsi="Times New Roman"/>
      <w:szCs w:val="20"/>
      <w:lang w:eastAsia="zh-CN"/>
    </w:rPr>
  </w:style>
  <w:style w:type="paragraph" w:styleId="ScheduleL3" w:customStyle="1">
    <w:name w:val="Schedule L3"/>
    <w:basedOn w:val="Normal"/>
    <w:link w:val="ScheduleL3Char"/>
    <w:pPr>
      <w:numPr>
        <w:ilvl w:val="2"/>
        <w:numId w:val="3"/>
      </w:numPr>
      <w:adjustRightInd w:val="0"/>
      <w:spacing w:after="240" w:line="240" w:lineRule="auto"/>
      <w:jc w:val="both"/>
      <w:outlineLvl w:val="2"/>
    </w:pPr>
    <w:rPr>
      <w:rFonts w:ascii="Times New Roman" w:cs="Times New Roman" w:eastAsia="STZhongsong" w:hAnsi="Times New Roman"/>
      <w:szCs w:val="20"/>
      <w:lang w:eastAsia="zh-CN"/>
    </w:rPr>
  </w:style>
  <w:style w:type="paragraph" w:styleId="ScheduleL4" w:customStyle="1">
    <w:name w:val="Schedule L4"/>
    <w:basedOn w:val="Normal"/>
    <w:pPr>
      <w:numPr>
        <w:ilvl w:val="3"/>
        <w:numId w:val="3"/>
      </w:numPr>
      <w:adjustRightInd w:val="0"/>
      <w:spacing w:after="240" w:line="240" w:lineRule="auto"/>
      <w:jc w:val="both"/>
      <w:outlineLvl w:val="3"/>
    </w:pPr>
    <w:rPr>
      <w:rFonts w:ascii="Times New Roman" w:cs="Times New Roman" w:eastAsia="STZhongsong" w:hAnsi="Times New Roman"/>
      <w:szCs w:val="20"/>
      <w:lang w:eastAsia="zh-CN"/>
    </w:rPr>
  </w:style>
  <w:style w:type="paragraph" w:styleId="ScheduleL5" w:customStyle="1">
    <w:name w:val="Schedule L5"/>
    <w:basedOn w:val="Normal"/>
    <w:pPr>
      <w:numPr>
        <w:ilvl w:val="4"/>
        <w:numId w:val="3"/>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pPr>
      <w:numPr>
        <w:ilvl w:val="5"/>
        <w:numId w:val="3"/>
      </w:numPr>
      <w:adjustRightInd w:val="0"/>
      <w:spacing w:after="240" w:line="240" w:lineRule="auto"/>
      <w:jc w:val="both"/>
      <w:outlineLvl w:val="5"/>
    </w:pPr>
    <w:rPr>
      <w:rFonts w:ascii="Times New Roman" w:cs="Times New Roman" w:eastAsia="STZhongsong" w:hAnsi="Times New Roman"/>
      <w:szCs w:val="20"/>
      <w:lang w:eastAsia="zh-CN"/>
    </w:rPr>
  </w:style>
  <w:style w:type="paragraph" w:styleId="ScheduleL7" w:customStyle="1">
    <w:name w:val="Schedule L7"/>
    <w:basedOn w:val="Normal"/>
    <w:pPr>
      <w:numPr>
        <w:ilvl w:val="6"/>
        <w:numId w:val="3"/>
      </w:numPr>
      <w:adjustRightInd w:val="0"/>
      <w:spacing w:after="240" w:line="240" w:lineRule="auto"/>
      <w:jc w:val="both"/>
      <w:outlineLvl w:val="6"/>
    </w:pPr>
    <w:rPr>
      <w:rFonts w:ascii="Times New Roman" w:cs="Times New Roman" w:eastAsia="STZhongsong" w:hAnsi="Times New Roman"/>
      <w:szCs w:val="20"/>
      <w:lang w:eastAsia="zh-CN"/>
    </w:rPr>
  </w:style>
  <w:style w:type="paragraph" w:styleId="ScheduleL8" w:customStyle="1">
    <w:name w:val="Schedule L8"/>
    <w:basedOn w:val="Normal"/>
    <w:pPr>
      <w:numPr>
        <w:ilvl w:val="7"/>
        <w:numId w:val="3"/>
      </w:numPr>
      <w:adjustRightInd w:val="0"/>
      <w:spacing w:after="240" w:line="240" w:lineRule="auto"/>
      <w:jc w:val="both"/>
      <w:outlineLvl w:val="7"/>
    </w:pPr>
    <w:rPr>
      <w:rFonts w:ascii="Times New Roman" w:cs="Times New Roman" w:eastAsia="STZhongsong" w:hAnsi="Times New Roman"/>
      <w:szCs w:val="20"/>
      <w:lang w:eastAsia="zh-CN"/>
    </w:rPr>
  </w:style>
  <w:style w:type="paragraph" w:styleId="ScheduleL9" w:customStyle="1">
    <w:name w:val="Schedule L9"/>
    <w:basedOn w:val="Normal"/>
    <w:pPr>
      <w:numPr>
        <w:ilvl w:val="8"/>
        <w:numId w:val="3"/>
      </w:numPr>
      <w:adjustRightInd w:val="0"/>
      <w:spacing w:after="240" w:line="240" w:lineRule="auto"/>
      <w:jc w:val="both"/>
      <w:outlineLvl w:val="8"/>
    </w:pPr>
    <w:rPr>
      <w:rFonts w:ascii="Times New Roman" w:cs="Times New Roman" w:eastAsia="STZhongsong" w:hAnsi="Times New Roman"/>
      <w:szCs w:val="20"/>
      <w:lang w:eastAsia="zh-CN"/>
    </w:rPr>
  </w:style>
  <w:style w:type="character" w:styleId="ScheduleL2Char" w:customStyle="1">
    <w:name w:val="Schedule L2 Char"/>
    <w:link w:val="ScheduleL2"/>
    <w:locked w:val="1"/>
    <w:rPr>
      <w:rFonts w:ascii="Times New Roman" w:cs="Times New Roman" w:eastAsia="STZhongsong" w:hAnsi="Times New Roman"/>
      <w:szCs w:val="20"/>
      <w:lang w:eastAsia="zh-CN"/>
    </w:rPr>
  </w:style>
  <w:style w:type="character" w:styleId="ScheduleL3Char" w:customStyle="1">
    <w:name w:val="Schedule L3 Char"/>
    <w:link w:val="ScheduleL3"/>
    <w:locked w:val="1"/>
    <w:rPr>
      <w:rFonts w:ascii="Times New Roman" w:cs="Times New Roman" w:eastAsia="STZhongsong" w:hAnsi="Times New Roman"/>
      <w:szCs w:val="20"/>
      <w:lang w:eastAsia="zh-CN"/>
    </w:r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sz w:val="20"/>
      <w:szCs w:val="20"/>
    </w:rPr>
  </w:style>
  <w:style w:type="character" w:styleId="FootnoteReference">
    <w:name w:val="footnote reference"/>
    <w:basedOn w:val="DefaultParagraphFont"/>
    <w:uiPriority w:val="99"/>
    <w:semiHidden w:val="1"/>
    <w:unhideWhenUsed w:val="1"/>
    <w:rPr>
      <w:vertAlign w:val="superscript"/>
    </w:rPr>
  </w:style>
  <w:style w:type="paragraph" w:styleId="Schedule1" w:customStyle="1">
    <w:name w:val="Schedule 1"/>
    <w:basedOn w:val="Normal"/>
    <w:next w:val="BodyText"/>
    <w:pPr>
      <w:keepNext w:val="1"/>
      <w:numPr>
        <w:numId w:val="5"/>
      </w:numPr>
      <w:spacing w:after="240" w:line="240" w:lineRule="auto"/>
      <w:jc w:val="both"/>
    </w:pPr>
    <w:rPr>
      <w:rFonts w:ascii="Times New Roman" w:cs="Times New Roman" w:eastAsia="Times New Roman" w:hAnsi="Times New Roman"/>
      <w:b w:val="1"/>
      <w:caps w:val="1"/>
      <w:szCs w:val="20"/>
    </w:rPr>
  </w:style>
  <w:style w:type="paragraph" w:styleId="Schedule2" w:customStyle="1">
    <w:name w:val="Schedule 2"/>
    <w:basedOn w:val="Normal"/>
    <w:next w:val="BodyText"/>
    <w:pPr>
      <w:keepNext w:val="1"/>
      <w:numPr>
        <w:ilvl w:val="1"/>
        <w:numId w:val="5"/>
      </w:numPr>
      <w:spacing w:after="210" w:line="264" w:lineRule="auto"/>
      <w:jc w:val="both"/>
    </w:pPr>
    <w:rPr>
      <w:rFonts w:ascii="Times New Roman" w:cs="Times New Roman" w:eastAsia="Times New Roman" w:hAnsi="Times New Roman"/>
      <w:sz w:val="23"/>
      <w:szCs w:val="20"/>
    </w:rPr>
  </w:style>
  <w:style w:type="paragraph" w:styleId="Schedule3" w:customStyle="1">
    <w:name w:val="Schedule 3"/>
    <w:basedOn w:val="Normal"/>
    <w:pPr>
      <w:numPr>
        <w:ilvl w:val="2"/>
        <w:numId w:val="5"/>
      </w:numPr>
      <w:spacing w:after="210" w:line="264" w:lineRule="auto"/>
      <w:jc w:val="both"/>
    </w:pPr>
    <w:rPr>
      <w:rFonts w:ascii="Times New Roman" w:cs="Times New Roman" w:eastAsia="Times New Roman" w:hAnsi="Times New Roman"/>
      <w:sz w:val="23"/>
      <w:szCs w:val="20"/>
    </w:rPr>
  </w:style>
  <w:style w:type="paragraph" w:styleId="Schedule4" w:customStyle="1">
    <w:name w:val="Schedule 4"/>
    <w:basedOn w:val="Normal"/>
    <w:pPr>
      <w:numPr>
        <w:ilvl w:val="3"/>
        <w:numId w:val="5"/>
      </w:numPr>
      <w:spacing w:after="210" w:line="264" w:lineRule="auto"/>
      <w:jc w:val="both"/>
    </w:pPr>
    <w:rPr>
      <w:rFonts w:ascii="Times New Roman" w:cs="Times New Roman" w:eastAsia="Times New Roman" w:hAnsi="Times New Roman"/>
      <w:sz w:val="23"/>
      <w:szCs w:val="20"/>
    </w:rPr>
  </w:style>
  <w:style w:type="paragraph" w:styleId="Schedule5" w:customStyle="1">
    <w:name w:val="Schedule 5"/>
    <w:basedOn w:val="Normal"/>
    <w:next w:val="Normal"/>
    <w:pPr>
      <w:numPr>
        <w:ilvl w:val="4"/>
        <w:numId w:val="5"/>
      </w:numPr>
      <w:spacing w:after="210" w:line="264" w:lineRule="auto"/>
      <w:jc w:val="both"/>
    </w:pPr>
    <w:rPr>
      <w:rFonts w:ascii="Times New Roman" w:cs="Times New Roman" w:eastAsia="Times New Roman" w:hAnsi="Times New Roman"/>
      <w:sz w:val="23"/>
      <w:szCs w:val="20"/>
    </w:rPr>
  </w:style>
  <w:style w:type="paragraph" w:styleId="Schedule6" w:customStyle="1">
    <w:name w:val="Schedule 6"/>
    <w:basedOn w:val="Normal"/>
    <w:next w:val="Normal"/>
    <w:pPr>
      <w:keepNext w:val="1"/>
      <w:pageBreakBefore w:val="1"/>
      <w:numPr>
        <w:ilvl w:val="5"/>
        <w:numId w:val="5"/>
      </w:numPr>
      <w:spacing w:after="360" w:line="312" w:lineRule="auto"/>
      <w:jc w:val="center"/>
    </w:pPr>
    <w:rPr>
      <w:rFonts w:ascii="Times New Roman Bold" w:cs="Times New Roman" w:eastAsia="Times New Roman" w:hAnsi="Times New Roman Bold"/>
      <w:b w:val="1"/>
      <w:smallCaps w:val="1"/>
      <w:szCs w:val="20"/>
    </w:rPr>
  </w:style>
  <w:style w:type="paragraph" w:styleId="Schedule7" w:customStyle="1">
    <w:name w:val="Schedule 7"/>
    <w:basedOn w:val="Normal"/>
    <w:next w:val="BodyText"/>
    <w:pPr>
      <w:keepNext w:val="1"/>
      <w:numPr>
        <w:ilvl w:val="6"/>
        <w:numId w:val="5"/>
      </w:numPr>
      <w:spacing w:after="60" w:before="120" w:line="264" w:lineRule="auto"/>
      <w:jc w:val="both"/>
    </w:pPr>
    <w:rPr>
      <w:rFonts w:ascii="Times New Roman Bold" w:cs="Times New Roman" w:eastAsia="Times New Roman" w:hAnsi="Times New Roman Bold"/>
      <w:b w:val="1"/>
      <w:sz w:val="23"/>
      <w:szCs w:val="20"/>
    </w:rPr>
  </w:style>
  <w:style w:type="paragraph" w:styleId="Schedule8" w:customStyle="1">
    <w:name w:val="Schedule 8"/>
    <w:basedOn w:val="Normal"/>
    <w:pPr>
      <w:numPr>
        <w:ilvl w:val="7"/>
        <w:numId w:val="5"/>
      </w:numPr>
      <w:spacing w:after="210" w:line="264" w:lineRule="auto"/>
      <w:jc w:val="both"/>
    </w:pPr>
    <w:rPr>
      <w:rFonts w:ascii="Times New Roman" w:cs="Times New Roman" w:eastAsia="Times New Roman" w:hAnsi="Times New Roman"/>
      <w:sz w:val="23"/>
      <w:szCs w:val="20"/>
    </w:rPr>
  </w:style>
  <w:style w:type="paragraph" w:styleId="Schedule9" w:customStyle="1">
    <w:name w:val="Schedule 9"/>
    <w:basedOn w:val="Normal"/>
    <w:next w:val="Normal"/>
    <w:pPr>
      <w:numPr>
        <w:ilvl w:val="8"/>
        <w:numId w:val="5"/>
      </w:numPr>
      <w:spacing w:after="210" w:line="264" w:lineRule="auto"/>
      <w:jc w:val="both"/>
    </w:pPr>
    <w:rPr>
      <w:rFonts w:ascii="Times New Roman" w:cs="Times New Roman" w:eastAsia="Times New Roman" w:hAnsi="Times New Roman"/>
      <w:sz w:val="23"/>
      <w:szCs w:val="20"/>
    </w:rPr>
  </w:style>
  <w:style w:type="paragraph" w:styleId="StyleSchedule211pt" w:customStyle="1">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val="1"/>
    <w:unhideWhenUsed w:val="1"/>
    <w:pPr>
      <w:spacing w:after="120"/>
    </w:pPr>
  </w:style>
  <w:style w:type="character" w:styleId="BodyTextChar" w:customStyle="1">
    <w:name w:val="Body Text Char"/>
    <w:basedOn w:val="DefaultParagraphFont"/>
    <w:link w:val="BodyText"/>
    <w:uiPriority w:val="99"/>
    <w:semiHidden w:val="1"/>
  </w:style>
  <w:style w:type="paragraph" w:styleId="9plus" w:customStyle="1">
    <w:name w:val="9 plus"/>
    <w:basedOn w:val="Normal"/>
    <w:pPr>
      <w:numPr>
        <w:numId w:val="8"/>
      </w:numPr>
      <w:spacing w:after="210" w:line="264" w:lineRule="auto"/>
      <w:jc w:val="both"/>
    </w:pPr>
    <w:rPr>
      <w:rFonts w:ascii="Times New Roman" w:cs="Times New Roman" w:eastAsia="Times New Roman" w:hAnsi="Times New Roman"/>
      <w:sz w:val="23"/>
      <w:szCs w:val="20"/>
    </w:rPr>
  </w:style>
  <w:style w:type="paragraph" w:styleId="ListParagraph">
    <w:name w:val="List Paragraph"/>
    <w:basedOn w:val="Normal"/>
    <w:uiPriority w:val="34"/>
    <w:qFormat w:val="1"/>
    <w:pPr>
      <w:spacing w:after="0" w:line="240" w:lineRule="auto"/>
      <w:ind w:left="720"/>
    </w:pPr>
    <w:rPr>
      <w:rFonts w:ascii="Calibri" w:cs="Times New Roman" w:hAnsi="Calibri"/>
    </w:rPr>
  </w:style>
  <w:style w:type="paragraph" w:styleId="GPSSchTitleandNumber" w:customStyle="1">
    <w:name w:val="GPS Sch Title and Number"/>
    <w:basedOn w:val="Normal"/>
    <w:link w:val="GPSSchTitleandNumberChar"/>
    <w:qFormat w:val="1"/>
    <w:rsid w:val="00D417E2"/>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sid w:val="00D417E2"/>
    <w:rPr>
      <w:rFonts w:ascii="Arial Bold" w:cs="Times New Roman" w:eastAsia="STZhongsong" w:hAnsi="Arial Bold"/>
      <w:b w:val="1"/>
      <w:caps w:val="1"/>
      <w:lang w:eastAsia="zh-CN"/>
    </w:rPr>
  </w:style>
  <w:style w:type="paragraph" w:styleId="Revision">
    <w:name w:val="Revision"/>
    <w:hidden w:val="1"/>
    <w:uiPriority w:val="99"/>
    <w:semiHidden w:val="1"/>
    <w:rsid w:val="00130970"/>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sLDioIJcxIq4iGmCVFUGKfLXX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KaWQuNDl4MmlrNTIJaC4ycDJjc3J5MgloLjE0N24yenIyCWguM283YWxuazIJaC4yM2NrdnZkMghoLmlodjYzNjIJaC4zMmhpb3F6MgloLjFobXN5eXMyCWguNDFtZ2htbDIJaC4yZ3JxcnVlMglpZC52eDEyMjc4AHIhMThhemFfTmpnSmcyOTlVOEFqeGw5cDZOZUFFR2lwb05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2020-02-27T11:56:00Z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gFAA9xAl/vizjZj2OrHkGsZcKfyrT/YwHav2AdDRs+gf2lkKxGhSRqPP5ycnydWSwTbh1y+C+4KxTmdUAV3hkGPBXcnkiIuDjFmqKjjBs5IQn/C1PzIr9ZJX31fJBTG6fUunuJqJxTowZu41lv9U2USk3E+B2MEps6+bHG8HpOzJQqNZYT0ipWIKW0IFsrsoNXtSouWxNolQOU/1Xo7LKAKPxbrYlrWp2WoODTMFNcb4FfsANianJwn2F</vt:lpwstr>
  </property>
  <property fmtid="{D5CDD505-2E9C-101B-9397-08002B2CF9AE}" pid="4" name="MAIL_MSG_ID2">
    <vt:lpwstr>QFAyrEZyfJntEPffdY1tDRL26lE2iMUtFRgPU+xiYV7AJVHTiy102URPTKPQ9fQES21k0I+OnDTesFxaABwG+U/c9+3kWygmQ==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ies>
</file>